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65A" w:rsidRDefault="007C365A" w:rsidP="007C365A">
      <w:pPr>
        <w:jc w:val="center"/>
        <w:rPr>
          <w:b/>
          <w:sz w:val="56"/>
        </w:rPr>
      </w:pPr>
      <w:bookmarkStart w:id="0" w:name="_GoBack"/>
      <w:bookmarkEnd w:id="0"/>
    </w:p>
    <w:p w:rsidR="007C365A" w:rsidRDefault="007C365A" w:rsidP="007C365A">
      <w:pPr>
        <w:jc w:val="center"/>
        <w:rPr>
          <w:b/>
          <w:sz w:val="56"/>
        </w:rPr>
      </w:pPr>
    </w:p>
    <w:p w:rsidR="007C365A" w:rsidRPr="007C365A" w:rsidRDefault="007C365A" w:rsidP="007C365A">
      <w:pPr>
        <w:jc w:val="center"/>
        <w:rPr>
          <w:b/>
          <w:sz w:val="56"/>
        </w:rPr>
      </w:pPr>
      <w:r w:rsidRPr="007C365A">
        <w:rPr>
          <w:b/>
          <w:sz w:val="56"/>
        </w:rPr>
        <w:t>Návrh rozpočtu</w:t>
      </w:r>
    </w:p>
    <w:p w:rsidR="007C365A" w:rsidRPr="007C365A" w:rsidRDefault="007C365A" w:rsidP="007C365A">
      <w:pPr>
        <w:jc w:val="center"/>
        <w:rPr>
          <w:b/>
          <w:sz w:val="56"/>
        </w:rPr>
      </w:pPr>
      <w:r w:rsidRPr="007C365A">
        <w:rPr>
          <w:b/>
          <w:sz w:val="56"/>
        </w:rPr>
        <w:t>statutárního města Chomutova</w:t>
      </w:r>
    </w:p>
    <w:p w:rsidR="00C43D80" w:rsidRDefault="007C365A" w:rsidP="007C365A">
      <w:pPr>
        <w:jc w:val="center"/>
        <w:rPr>
          <w:b/>
          <w:sz w:val="56"/>
        </w:rPr>
      </w:pPr>
      <w:r w:rsidRPr="007C365A">
        <w:rPr>
          <w:b/>
          <w:sz w:val="56"/>
        </w:rPr>
        <w:t>pro rok 202</w:t>
      </w:r>
      <w:r w:rsidR="000E6B11">
        <w:rPr>
          <w:b/>
          <w:sz w:val="56"/>
        </w:rPr>
        <w:t>1</w:t>
      </w:r>
    </w:p>
    <w:p w:rsidR="007C365A" w:rsidRDefault="007C365A" w:rsidP="007C365A">
      <w:pPr>
        <w:jc w:val="center"/>
        <w:rPr>
          <w:b/>
          <w:sz w:val="56"/>
        </w:rPr>
      </w:pPr>
    </w:p>
    <w:p w:rsidR="007C365A" w:rsidRDefault="007C365A" w:rsidP="007C365A">
      <w:pPr>
        <w:jc w:val="center"/>
        <w:rPr>
          <w:b/>
          <w:sz w:val="56"/>
        </w:rPr>
      </w:pPr>
    </w:p>
    <w:p w:rsidR="007C365A" w:rsidRDefault="007C365A" w:rsidP="007C365A">
      <w:pPr>
        <w:jc w:val="center"/>
        <w:rPr>
          <w:b/>
          <w:sz w:val="56"/>
        </w:rPr>
      </w:pPr>
      <w:r>
        <w:rPr>
          <w:b/>
          <w:noProof/>
          <w:sz w:val="56"/>
          <w:lang w:eastAsia="cs-CZ"/>
        </w:rPr>
        <w:drawing>
          <wp:inline distT="0" distB="0" distL="0" distR="0">
            <wp:extent cx="2275253" cy="33051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homutov2.gif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113" b="18816"/>
                    <a:stretch/>
                  </pic:blipFill>
                  <pic:spPr bwMode="auto">
                    <a:xfrm>
                      <a:off x="0" y="0"/>
                      <a:ext cx="2278221" cy="33094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C365A" w:rsidRDefault="007C365A" w:rsidP="007C365A">
      <w:pPr>
        <w:jc w:val="center"/>
        <w:rPr>
          <w:b/>
          <w:sz w:val="56"/>
        </w:rPr>
      </w:pPr>
    </w:p>
    <w:p w:rsidR="00D70E9B" w:rsidRDefault="00D70E9B" w:rsidP="007C365A">
      <w:pPr>
        <w:jc w:val="center"/>
        <w:rPr>
          <w:b/>
          <w:sz w:val="56"/>
        </w:rPr>
        <w:sectPr w:rsidR="00D70E9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C365A" w:rsidRPr="006F4397" w:rsidRDefault="007C365A" w:rsidP="007C365A">
      <w:pPr>
        <w:rPr>
          <w:b/>
          <w:sz w:val="28"/>
        </w:rPr>
      </w:pPr>
      <w:r w:rsidRPr="006F4397">
        <w:rPr>
          <w:b/>
          <w:sz w:val="28"/>
        </w:rPr>
        <w:lastRenderedPageBreak/>
        <w:t>Základní charakteristika rozpočtu SMCH na rok 202</w:t>
      </w:r>
      <w:r w:rsidR="000E6B11">
        <w:rPr>
          <w:b/>
          <w:sz w:val="28"/>
        </w:rPr>
        <w:t>1</w:t>
      </w:r>
      <w:r w:rsidRPr="006F4397">
        <w:rPr>
          <w:b/>
          <w:sz w:val="28"/>
        </w:rPr>
        <w:t xml:space="preserve"> </w:t>
      </w:r>
    </w:p>
    <w:p w:rsidR="00D70E9B" w:rsidRPr="00D70E9B" w:rsidRDefault="00D70E9B" w:rsidP="007C365A">
      <w:pPr>
        <w:rPr>
          <w:b/>
        </w:rPr>
      </w:pPr>
    </w:p>
    <w:p w:rsidR="007C365A" w:rsidRDefault="007C365A" w:rsidP="00D70E9B">
      <w:pPr>
        <w:jc w:val="both"/>
      </w:pPr>
      <w:r>
        <w:t xml:space="preserve">Rozpočet statutárního města Chomutova na rok 2021 byl sestaven na základě platného znění zákona č. 250/2000 Sb., o rozpočtových pravidlech územních rozpočtů, zákona č. 128/2000 Sb., o obcích a na základě vládního návrhu státního rozpočtu na rok 2021. Pro rok 2021 dosáhne rozpočet příjmů částku ve výši </w:t>
      </w:r>
      <w:r w:rsidR="004F389E" w:rsidRPr="004F389E">
        <w:t>1 049 881,6</w:t>
      </w:r>
      <w:r w:rsidR="004F389E">
        <w:t xml:space="preserve"> </w:t>
      </w:r>
      <w:r>
        <w:t xml:space="preserve">tis. Kč, celkový rozpočet výdajů částku ve výši </w:t>
      </w:r>
      <w:r w:rsidR="004F389E" w:rsidRPr="004F389E">
        <w:t>1 146 984,8</w:t>
      </w:r>
      <w:r w:rsidR="004F389E">
        <w:t xml:space="preserve"> </w:t>
      </w:r>
      <w:r>
        <w:t xml:space="preserve">tis. Kč a financování bude ve výši </w:t>
      </w:r>
      <w:r w:rsidR="004F389E" w:rsidRPr="004F389E">
        <w:t>97 103,20</w:t>
      </w:r>
      <w:r w:rsidR="000B2401">
        <w:t xml:space="preserve"> </w:t>
      </w:r>
      <w:r>
        <w:t xml:space="preserve">tis. Kč, což představuje </w:t>
      </w:r>
      <w:r w:rsidR="000B2401" w:rsidRPr="004F389E">
        <w:t>deficitní</w:t>
      </w:r>
      <w:r w:rsidRPr="004F389E">
        <w:t xml:space="preserve"> rozpočet.</w:t>
      </w:r>
      <w:r>
        <w:t xml:space="preserve"> </w:t>
      </w:r>
    </w:p>
    <w:p w:rsidR="004F389E" w:rsidRDefault="004F389E" w:rsidP="00D70E9B">
      <w:pPr>
        <w:jc w:val="both"/>
      </w:pPr>
      <w:r>
        <w:t>Hospodaření roku 2020, ale i budoucí hospodaření města v roce 2021 je silně ovlivněno coronavirovou krizí. Původní převis výdajů nad příjmy rozpočtu města byl v hodnotě 27</w:t>
      </w:r>
      <w:r w:rsidR="00174B36">
        <w:t>3</w:t>
      </w:r>
      <w:r>
        <w:t xml:space="preserve"> mil. Kč.</w:t>
      </w:r>
    </w:p>
    <w:p w:rsidR="00734FB0" w:rsidRDefault="00734FB0" w:rsidP="00D70E9B">
      <w:pPr>
        <w:jc w:val="both"/>
      </w:pPr>
    </w:p>
    <w:p w:rsidR="00734FB0" w:rsidRDefault="00734FB0" w:rsidP="00D70E9B">
      <w:pPr>
        <w:jc w:val="both"/>
      </w:pPr>
      <w:r>
        <w:t>Vzhledem ke skutečnosti, že výdaje o 27</w:t>
      </w:r>
      <w:r w:rsidR="00174B36">
        <w:t>3</w:t>
      </w:r>
      <w:r>
        <w:t xml:space="preserve"> mil. Kč převyšovaly možnosti příjmové stránky rozpočtu města, došlo k podstatnému krácení provozních výdajů, kdy se deficit podařilo snížit na hodnotu 22</w:t>
      </w:r>
      <w:r w:rsidR="00B461D5">
        <w:t>4,3</w:t>
      </w:r>
      <w:r>
        <w:t xml:space="preserve"> mil. Kč, následně došlo k redukci </w:t>
      </w:r>
      <w:r w:rsidR="00174B36">
        <w:t>in</w:t>
      </w:r>
      <w:r>
        <w:t>vesti</w:t>
      </w:r>
      <w:r w:rsidR="00174B36">
        <w:t>čních a neinvestičních projektů</w:t>
      </w:r>
      <w:r>
        <w:t xml:space="preserve"> o 50 mil. Kč</w:t>
      </w:r>
      <w:r w:rsidR="00B461D5">
        <w:t xml:space="preserve"> a hodnota deficitu se snížila na 174,3 mil. Kč. V radě města byly projednány možnosti navýšení příjmů a doporučuje se zastupitelstvu města navýšit poplatek za komunální odpad z částky 500 Kč na 600 Kč a povolit ve městě maximálně dvě casina, které by mohly generovat příjmy z loterijních daní a nájemného ve výši 30 mil. Kč. Zbylá část deficitu ve výši 146,3 mil. Kč je pokryta zapojením volných zdrojů na účtech, zejména zůstatku zrušeného FRM.</w:t>
      </w:r>
    </w:p>
    <w:p w:rsidR="00B461D5" w:rsidRDefault="00B461D5" w:rsidP="00D70E9B">
      <w:pPr>
        <w:jc w:val="both"/>
      </w:pPr>
      <w:r>
        <w:t>Pokud stát v roce 2021 schválí kompenzační dotaci obcím ve stejné výši jako v roce 2020, snížil by se deficit o cca 60 mil. Kč, nicméně toto se projeví pouze snížením financování, bez vlivu na případné navýšení rezervy města.</w:t>
      </w:r>
    </w:p>
    <w:p w:rsidR="00D70E9B" w:rsidRDefault="00D70E9B" w:rsidP="00D70E9B">
      <w:pPr>
        <w:jc w:val="both"/>
        <w:rPr>
          <w:b/>
          <w:u w:val="single"/>
        </w:rPr>
      </w:pPr>
    </w:p>
    <w:p w:rsidR="007C365A" w:rsidRPr="007C365A" w:rsidRDefault="007C365A" w:rsidP="00D70E9B">
      <w:pPr>
        <w:jc w:val="both"/>
        <w:rPr>
          <w:b/>
          <w:u w:val="single"/>
        </w:rPr>
      </w:pPr>
      <w:r w:rsidRPr="007C365A">
        <w:rPr>
          <w:b/>
          <w:u w:val="single"/>
        </w:rPr>
        <w:t xml:space="preserve">Příjmy </w:t>
      </w:r>
    </w:p>
    <w:p w:rsidR="007C365A" w:rsidRDefault="007C365A" w:rsidP="00D70E9B">
      <w:pPr>
        <w:jc w:val="both"/>
      </w:pPr>
      <w:r w:rsidRPr="007C365A">
        <w:rPr>
          <w:b/>
        </w:rPr>
        <w:t>Daňové příjmy</w:t>
      </w:r>
      <w:r>
        <w:t xml:space="preserve"> vyplývající ze zákona o rozpočtovém určení daní, ze správní činnosti a poplatky z vybraných činností a služeb, jsou navrženy ve výši </w:t>
      </w:r>
      <w:r w:rsidR="004F389E" w:rsidRPr="004F389E">
        <w:t>836 833,0</w:t>
      </w:r>
      <w:r>
        <w:t xml:space="preserve"> tis. Kč, z </w:t>
      </w:r>
      <w:r w:rsidRPr="00734FB0">
        <w:t xml:space="preserve">toho předpokládaný podíl na výnosu ze sdílených daní činí </w:t>
      </w:r>
      <w:r w:rsidR="004F389E" w:rsidRPr="00734FB0">
        <w:t>759 860,0</w:t>
      </w:r>
      <w:r w:rsidRPr="00734FB0">
        <w:t xml:space="preserve"> tis. Kč, což představuje v této části </w:t>
      </w:r>
      <w:r w:rsidR="000B2401" w:rsidRPr="00734FB0">
        <w:t xml:space="preserve">pokles </w:t>
      </w:r>
      <w:r w:rsidRPr="00734FB0">
        <w:t xml:space="preserve">o </w:t>
      </w:r>
      <w:r w:rsidR="004F389E" w:rsidRPr="00734FB0">
        <w:t>9,8</w:t>
      </w:r>
      <w:r w:rsidRPr="00734FB0">
        <w:t xml:space="preserve"> % oproti předpokládanému výběru sdílených daní v letošním roce. </w:t>
      </w:r>
      <w:r w:rsidR="000B2401" w:rsidRPr="00734FB0">
        <w:t>Pokles daňových příjmů odráží dopady</w:t>
      </w:r>
      <w:r w:rsidR="000B2401">
        <w:t xml:space="preserve"> epidemie COVID-19. K většímu poklesu nedošlo zejména díky </w:t>
      </w:r>
      <w:r>
        <w:t>dlouhodobě nejdynamičtěji rostoucí da</w:t>
      </w:r>
      <w:r w:rsidR="000B2401">
        <w:t>ni</w:t>
      </w:r>
      <w:r>
        <w:t xml:space="preserve"> z příjmů fyzických osob placená plátci, což je odrazem vysokého růstu platů a mezd ve veřejné a soukromé sféře</w:t>
      </w:r>
      <w:r w:rsidR="000B2401">
        <w:t xml:space="preserve"> v posledních let</w:t>
      </w:r>
      <w:r w:rsidR="004F389E">
        <w:t>e</w:t>
      </w:r>
      <w:r w:rsidR="000B2401">
        <w:t>ch</w:t>
      </w:r>
      <w:r>
        <w:t>, zvýšení minimální mzdy, t</w:t>
      </w:r>
      <w:r w:rsidR="004F389E">
        <w:t>ak i vysoké míry zaměstnanosti, a znovunastartování výpadku DPH.</w:t>
      </w:r>
    </w:p>
    <w:p w:rsidR="007C365A" w:rsidRDefault="007C365A" w:rsidP="00D70E9B">
      <w:pPr>
        <w:jc w:val="both"/>
      </w:pPr>
      <w:r w:rsidRPr="007C365A">
        <w:rPr>
          <w:b/>
        </w:rPr>
        <w:t>Nedaňové příjmy</w:t>
      </w:r>
      <w:r>
        <w:t xml:space="preserve"> jsou navrženy ve výši </w:t>
      </w:r>
      <w:r w:rsidR="00CC747C">
        <w:t>11</w:t>
      </w:r>
      <w:r w:rsidR="004F389E" w:rsidRPr="004F389E">
        <w:t>3 4</w:t>
      </w:r>
      <w:r w:rsidR="00CC747C">
        <w:t>65</w:t>
      </w:r>
      <w:r w:rsidR="004F389E" w:rsidRPr="004F389E">
        <w:t>,</w:t>
      </w:r>
      <w:r w:rsidR="00CC747C">
        <w:t>6</w:t>
      </w:r>
      <w:r w:rsidR="004F389E">
        <w:t xml:space="preserve"> </w:t>
      </w:r>
      <w:r>
        <w:t>tis. Kč</w:t>
      </w:r>
      <w:r w:rsidR="00CC747C">
        <w:t>, z toho</w:t>
      </w:r>
      <w:r>
        <w:t xml:space="preserve"> </w:t>
      </w:r>
      <w:r w:rsidR="00CC747C">
        <w:t>o</w:t>
      </w:r>
      <w:r w:rsidR="000B2401">
        <w:t xml:space="preserve">čekávané vratky dotací z rozvojových akcí činí </w:t>
      </w:r>
      <w:r w:rsidR="004F389E">
        <w:t xml:space="preserve">pouze </w:t>
      </w:r>
      <w:r w:rsidR="004F389E" w:rsidRPr="004F389E">
        <w:t>19 982,5</w:t>
      </w:r>
      <w:r w:rsidR="000B2401">
        <w:t xml:space="preserve"> tis. Kč.</w:t>
      </w:r>
    </w:p>
    <w:p w:rsidR="007C365A" w:rsidRDefault="007C365A" w:rsidP="00D70E9B">
      <w:pPr>
        <w:jc w:val="both"/>
      </w:pPr>
      <w:r w:rsidRPr="007C365A">
        <w:rPr>
          <w:b/>
        </w:rPr>
        <w:t>Kapitálové příjmy</w:t>
      </w:r>
      <w:r>
        <w:t xml:space="preserve"> jsou rozpočtovány ve výši </w:t>
      </w:r>
      <w:r w:rsidR="004F389E">
        <w:t>5.000,0</w:t>
      </w:r>
      <w:r>
        <w:t xml:space="preserve"> tis. Kč, což představuje předpokládaný objem prodeje majetku města v roce 2021. </w:t>
      </w:r>
    </w:p>
    <w:p w:rsidR="007C365A" w:rsidRDefault="007C365A" w:rsidP="00D70E9B">
      <w:pPr>
        <w:jc w:val="both"/>
      </w:pPr>
      <w:r w:rsidRPr="007C365A">
        <w:rPr>
          <w:b/>
        </w:rPr>
        <w:t>Přijaté transfery (dotace)</w:t>
      </w:r>
      <w:r>
        <w:t xml:space="preserve"> ve výši</w:t>
      </w:r>
      <w:r w:rsidR="004F389E" w:rsidRPr="004F389E">
        <w:t xml:space="preserve"> 94 583,0</w:t>
      </w:r>
      <w:r w:rsidR="004F389E">
        <w:t xml:space="preserve"> </w:t>
      </w:r>
      <w:r w:rsidR="000B2401">
        <w:t xml:space="preserve"> </w:t>
      </w:r>
      <w:r>
        <w:t>tis. Kč</w:t>
      </w:r>
      <w:r w:rsidR="004F389E">
        <w:t xml:space="preserve">, jsou tvořeny zejména </w:t>
      </w:r>
      <w:r>
        <w:t>příspěvk</w:t>
      </w:r>
      <w:r w:rsidR="004F389E">
        <w:t>em</w:t>
      </w:r>
      <w:r>
        <w:t xml:space="preserve"> na výkon státní správy (dotace v rámci souhrnného dotačního vztahu)</w:t>
      </w:r>
      <w:r w:rsidR="004F389E">
        <w:t>, která byla valorizována o 4,6% a připočteny odhady ze změny výkonového financování vybraných agend.</w:t>
      </w:r>
      <w:r>
        <w:t xml:space="preserve"> Další účelové neinvestiční a investiční dotace budou jako dosud zapojovány do rozpočtu až v průběhu roku rozpočtovými opatřeními na základě doručení rozhodnutí o poskytnutí dotace městu. </w:t>
      </w:r>
    </w:p>
    <w:p w:rsidR="00D70E9B" w:rsidRDefault="00D70E9B" w:rsidP="00D70E9B">
      <w:pPr>
        <w:jc w:val="both"/>
        <w:rPr>
          <w:b/>
          <w:u w:val="single"/>
        </w:rPr>
      </w:pPr>
    </w:p>
    <w:p w:rsidR="007C365A" w:rsidRPr="007C365A" w:rsidRDefault="007C365A" w:rsidP="00D70E9B">
      <w:pPr>
        <w:jc w:val="both"/>
        <w:rPr>
          <w:b/>
          <w:u w:val="single"/>
        </w:rPr>
      </w:pPr>
      <w:r w:rsidRPr="007C365A">
        <w:rPr>
          <w:b/>
          <w:u w:val="single"/>
        </w:rPr>
        <w:t xml:space="preserve">Výdaje </w:t>
      </w:r>
    </w:p>
    <w:p w:rsidR="007C365A" w:rsidRDefault="007C365A" w:rsidP="00D70E9B">
      <w:pPr>
        <w:jc w:val="both"/>
      </w:pPr>
      <w:r w:rsidRPr="007C365A">
        <w:rPr>
          <w:b/>
        </w:rPr>
        <w:t>Běžné (provozní) výdaje</w:t>
      </w:r>
      <w:r>
        <w:t xml:space="preserve"> činí </w:t>
      </w:r>
      <w:r w:rsidR="004F389E" w:rsidRPr="004F389E">
        <w:t>949 292,80</w:t>
      </w:r>
      <w:r w:rsidR="000B2401">
        <w:t xml:space="preserve"> </w:t>
      </w:r>
      <w:r>
        <w:t>tis. Kč a jsou v</w:t>
      </w:r>
      <w:r w:rsidR="00734FB0">
        <w:t xml:space="preserve"> podstatě shodné </w:t>
      </w:r>
      <w:r>
        <w:t xml:space="preserve">se schváleným rozpočtem běžných výdajů roku 2020. Na běžných výdajích se každoročně nejvýznamněji podílí výdaje v oblasti dopravy (např. opravy chodníků, komunikací, čištění města, zimní údržba, platby DPCHJ a.s. na zajištění závazku veřejné služby v provozu MHD, dopravní obslužnost, apod.). Významnou položkou běžných výdajů jsou dále neinvestiční transfery zřízeným příspěvkovým organizacím a založeným obchodním společnostem. </w:t>
      </w:r>
      <w:r w:rsidR="00734FB0">
        <w:t xml:space="preserve">Jednou z nejvýznamnějších položek jsou i mzdy zaměstnanců města a organizací napojených na rozpočet města. </w:t>
      </w:r>
      <w:r>
        <w:t xml:space="preserve">Podrobněji jsou jednotlivé výdaje dle druhu rozepsány v důvodové zprávě. </w:t>
      </w:r>
    </w:p>
    <w:p w:rsidR="00D70E9B" w:rsidRDefault="007C365A" w:rsidP="00D70E9B">
      <w:pPr>
        <w:jc w:val="both"/>
      </w:pPr>
      <w:r w:rsidRPr="007C365A">
        <w:rPr>
          <w:b/>
        </w:rPr>
        <w:t>Kapitálové výdaje</w:t>
      </w:r>
      <w:r>
        <w:t xml:space="preserve"> činí pro rok 2021 celkem </w:t>
      </w:r>
      <w:r w:rsidR="00734FB0" w:rsidRPr="00734FB0">
        <w:t>197 692,00</w:t>
      </w:r>
      <w:r w:rsidR="000B2401" w:rsidRPr="00734FB0">
        <w:t xml:space="preserve"> </w:t>
      </w:r>
      <w:r w:rsidRPr="00645475">
        <w:t xml:space="preserve">tis. Kč (v roce 2020 částka </w:t>
      </w:r>
      <w:r w:rsidR="00734FB0" w:rsidRPr="00645475">
        <w:t>214 560,00</w:t>
      </w:r>
      <w:r w:rsidR="000B2401" w:rsidRPr="00645475">
        <w:t xml:space="preserve"> </w:t>
      </w:r>
      <w:r w:rsidRPr="00645475">
        <w:t>tis. Kč).</w:t>
      </w:r>
      <w:r w:rsidRPr="00734FB0">
        <w:t xml:space="preserve"> </w:t>
      </w:r>
      <w:r w:rsidR="00734FB0" w:rsidRPr="00734FB0">
        <w:t>Požadavek na rok 2021 činil 245 322,00 tis. Kč, a byl díky výpadku v příjmové části rozpočtu významně</w:t>
      </w:r>
      <w:r w:rsidR="00734FB0">
        <w:t xml:space="preserve"> redukován. Kapitálové výdaje z</w:t>
      </w:r>
      <w:r>
        <w:t>ahrnují prostředky jak na vlastní investice města, tak na financování dotačních akcí pro zřízen</w:t>
      </w:r>
      <w:r w:rsidR="00734FB0">
        <w:t>é</w:t>
      </w:r>
      <w:r>
        <w:t xml:space="preserve"> příspěvkov</w:t>
      </w:r>
      <w:r w:rsidR="00734FB0">
        <w:t xml:space="preserve">é </w:t>
      </w:r>
      <w:r>
        <w:t>organizac</w:t>
      </w:r>
      <w:r w:rsidR="00734FB0">
        <w:t xml:space="preserve">e. </w:t>
      </w:r>
    </w:p>
    <w:p w:rsidR="00E06E76" w:rsidRDefault="00E06E76" w:rsidP="00D70E9B">
      <w:pPr>
        <w:jc w:val="both"/>
        <w:rPr>
          <w:b/>
          <w:u w:val="single"/>
        </w:rPr>
      </w:pPr>
    </w:p>
    <w:p w:rsidR="00D70E9B" w:rsidRDefault="007C365A" w:rsidP="00D70E9B">
      <w:pPr>
        <w:jc w:val="both"/>
      </w:pPr>
      <w:r w:rsidRPr="00D70E9B">
        <w:rPr>
          <w:b/>
          <w:u w:val="single"/>
        </w:rPr>
        <w:t xml:space="preserve">Financování </w:t>
      </w:r>
    </w:p>
    <w:p w:rsidR="00734FB0" w:rsidRPr="00734FB0" w:rsidRDefault="007C365A" w:rsidP="00D70E9B">
      <w:pPr>
        <w:jc w:val="both"/>
      </w:pPr>
      <w:r w:rsidRPr="00D70E9B">
        <w:rPr>
          <w:b/>
        </w:rPr>
        <w:t>Financování</w:t>
      </w:r>
      <w:r>
        <w:t xml:space="preserve"> činí pro </w:t>
      </w:r>
      <w:r w:rsidRPr="00734FB0">
        <w:t>rok 202</w:t>
      </w:r>
      <w:r w:rsidR="00D70E9B" w:rsidRPr="00734FB0">
        <w:t>1</w:t>
      </w:r>
      <w:r w:rsidRPr="00734FB0">
        <w:t xml:space="preserve"> </w:t>
      </w:r>
      <w:r w:rsidR="000B2401" w:rsidRPr="00734FB0">
        <w:t>plus</w:t>
      </w:r>
      <w:r w:rsidRPr="00734FB0">
        <w:t xml:space="preserve"> </w:t>
      </w:r>
      <w:r w:rsidR="00734FB0" w:rsidRPr="00734FB0">
        <w:rPr>
          <w:rFonts w:ascii="Calibri" w:eastAsia="Times New Roman" w:hAnsi="Calibri" w:cs="Calibri"/>
          <w:lang w:eastAsia="cs-CZ"/>
        </w:rPr>
        <w:t>97 103,20</w:t>
      </w:r>
      <w:r w:rsidRPr="00734FB0">
        <w:t xml:space="preserve"> tis. Kč, což představuje </w:t>
      </w:r>
      <w:r w:rsidR="000B2401" w:rsidRPr="00734FB0">
        <w:t>deficitní</w:t>
      </w:r>
      <w:r w:rsidRPr="00734FB0">
        <w:t xml:space="preserve"> rozpočet. </w:t>
      </w:r>
      <w:r w:rsidR="00734FB0" w:rsidRPr="00734FB0">
        <w:t>Celý schodek byl pokryt přebytky z let minulých (zůstatek bývalého FRM a aktuální zůstatky města na bankovních účtech</w:t>
      </w:r>
      <w:r w:rsidR="00BE795B">
        <w:t>)</w:t>
      </w:r>
      <w:r w:rsidR="00734FB0" w:rsidRPr="00734FB0">
        <w:t xml:space="preserve">. Rozpočet nepočítá se stažením správy aktiv. </w:t>
      </w:r>
    </w:p>
    <w:p w:rsidR="007C365A" w:rsidRPr="007C365A" w:rsidRDefault="007C365A" w:rsidP="00D70E9B">
      <w:pPr>
        <w:jc w:val="both"/>
        <w:rPr>
          <w:b/>
          <w:sz w:val="56"/>
        </w:rPr>
      </w:pPr>
      <w:r w:rsidRPr="00734FB0">
        <w:t xml:space="preserve">Součástí rozpočtu v oblasti Financování je zapojení revolvingového úvěru ve výši </w:t>
      </w:r>
      <w:r w:rsidR="00734FB0" w:rsidRPr="00734FB0">
        <w:t>200,000,0</w:t>
      </w:r>
      <w:r w:rsidRPr="00734FB0">
        <w:t xml:space="preserve"> tis. Kč</w:t>
      </w:r>
      <w:r w:rsidR="00734FB0" w:rsidRPr="00734FB0">
        <w:t xml:space="preserve">, vzhledem k tomu, že nejsou navrženy rozvojové projekty s návratností dotací, ze kterých by byl úvěr splacen. Není revolving použit na dofinancování investic, ale bude v roce 2021 do doby rozhodnutí o jeho případném zapojení zhodnocován. </w:t>
      </w:r>
      <w:r w:rsidRPr="00734FB0">
        <w:t>Součástí rozpočtu v části</w:t>
      </w:r>
      <w:r>
        <w:t xml:space="preserve"> Financování jsou také plánované splátky úvěrů ve výši </w:t>
      </w:r>
      <w:r w:rsidR="00E06E76" w:rsidRPr="00E06E76">
        <w:t>49 170</w:t>
      </w:r>
      <w:r w:rsidRPr="00E06E76">
        <w:t xml:space="preserve"> tis. Kč.</w:t>
      </w:r>
    </w:p>
    <w:sectPr w:rsidR="007C365A" w:rsidRPr="007C365A" w:rsidSect="00D70E9B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604" w:rsidRDefault="00892604" w:rsidP="00D70E9B">
      <w:pPr>
        <w:spacing w:after="0" w:line="240" w:lineRule="auto"/>
      </w:pPr>
      <w:r>
        <w:separator/>
      </w:r>
    </w:p>
  </w:endnote>
  <w:endnote w:type="continuationSeparator" w:id="0">
    <w:p w:rsidR="00892604" w:rsidRDefault="00892604" w:rsidP="00D70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E9B" w:rsidRPr="00D70E9B" w:rsidRDefault="00D70E9B">
    <w:pPr>
      <w:pStyle w:val="Zpat"/>
      <w:jc w:val="center"/>
      <w:rPr>
        <w:rFonts w:cstheme="minorHAnsi"/>
        <w:sz w:val="20"/>
      </w:rPr>
    </w:pPr>
    <w:r w:rsidRPr="00D70E9B">
      <w:rPr>
        <w:rFonts w:cstheme="minorHAnsi"/>
        <w:sz w:val="20"/>
      </w:rPr>
      <w:t xml:space="preserve">Strana </w:t>
    </w:r>
    <w:r w:rsidRPr="00D70E9B">
      <w:rPr>
        <w:rFonts w:cstheme="minorHAnsi"/>
        <w:sz w:val="20"/>
      </w:rPr>
      <w:fldChar w:fldCharType="begin"/>
    </w:r>
    <w:r w:rsidRPr="00D70E9B">
      <w:rPr>
        <w:rFonts w:cstheme="minorHAnsi"/>
        <w:sz w:val="20"/>
      </w:rPr>
      <w:instrText>PAGE  \* Arabic  \* MERGEFORMAT</w:instrText>
    </w:r>
    <w:r w:rsidRPr="00D70E9B">
      <w:rPr>
        <w:rFonts w:cstheme="minorHAnsi"/>
        <w:sz w:val="20"/>
      </w:rPr>
      <w:fldChar w:fldCharType="separate"/>
    </w:r>
    <w:r w:rsidR="00FF0DDF">
      <w:rPr>
        <w:rFonts w:cstheme="minorHAnsi"/>
        <w:noProof/>
        <w:sz w:val="20"/>
      </w:rPr>
      <w:t>2</w:t>
    </w:r>
    <w:r w:rsidRPr="00D70E9B">
      <w:rPr>
        <w:rFonts w:cstheme="minorHAnsi"/>
        <w:sz w:val="20"/>
      </w:rPr>
      <w:fldChar w:fldCharType="end"/>
    </w:r>
  </w:p>
  <w:p w:rsidR="00D70E9B" w:rsidRPr="00D70E9B" w:rsidRDefault="00D70E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604" w:rsidRDefault="00892604" w:rsidP="00D70E9B">
      <w:pPr>
        <w:spacing w:after="0" w:line="240" w:lineRule="auto"/>
      </w:pPr>
      <w:r>
        <w:separator/>
      </w:r>
    </w:p>
  </w:footnote>
  <w:footnote w:type="continuationSeparator" w:id="0">
    <w:p w:rsidR="00892604" w:rsidRDefault="00892604" w:rsidP="00D70E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65A"/>
    <w:rsid w:val="000B2401"/>
    <w:rsid w:val="000E6B11"/>
    <w:rsid w:val="00174B36"/>
    <w:rsid w:val="00225596"/>
    <w:rsid w:val="00424000"/>
    <w:rsid w:val="004F389E"/>
    <w:rsid w:val="00645475"/>
    <w:rsid w:val="006F4397"/>
    <w:rsid w:val="00734FB0"/>
    <w:rsid w:val="007C365A"/>
    <w:rsid w:val="00892604"/>
    <w:rsid w:val="00B461D5"/>
    <w:rsid w:val="00BE795B"/>
    <w:rsid w:val="00C43D80"/>
    <w:rsid w:val="00CC747C"/>
    <w:rsid w:val="00D70E9B"/>
    <w:rsid w:val="00E06E76"/>
    <w:rsid w:val="00E12582"/>
    <w:rsid w:val="00F66FF9"/>
    <w:rsid w:val="00F80B1E"/>
    <w:rsid w:val="00FF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CD721-0E4B-47F7-AB27-7A80B25AC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7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70E9B"/>
  </w:style>
  <w:style w:type="paragraph" w:styleId="Zpat">
    <w:name w:val="footer"/>
    <w:basedOn w:val="Normln"/>
    <w:link w:val="ZpatChar"/>
    <w:uiPriority w:val="99"/>
    <w:unhideWhenUsed/>
    <w:rsid w:val="00D70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70E9B"/>
  </w:style>
  <w:style w:type="paragraph" w:styleId="Textbubliny">
    <w:name w:val="Balloon Text"/>
    <w:basedOn w:val="Normln"/>
    <w:link w:val="TextbublinyChar"/>
    <w:uiPriority w:val="99"/>
    <w:semiHidden/>
    <w:unhideWhenUsed/>
    <w:rsid w:val="00F80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0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08202-FFE7-4D0B-83D2-169F83807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Jan</dc:creator>
  <cp:keywords/>
  <dc:description/>
  <cp:lastModifiedBy>Matějková Romana</cp:lastModifiedBy>
  <cp:revision>2</cp:revision>
  <cp:lastPrinted>2020-10-16T10:19:00Z</cp:lastPrinted>
  <dcterms:created xsi:type="dcterms:W3CDTF">2020-10-23T08:52:00Z</dcterms:created>
  <dcterms:modified xsi:type="dcterms:W3CDTF">2020-10-23T08:52:00Z</dcterms:modified>
</cp:coreProperties>
</file>